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74" w:rsidRDefault="00826B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Anamika Kar </w:t>
      </w:r>
    </w:p>
    <w:tbl>
      <w:tblPr>
        <w:tblStyle w:val="a"/>
        <w:tblW w:w="10712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02"/>
        <w:gridCol w:w="1530"/>
        <w:gridCol w:w="18"/>
        <w:gridCol w:w="7562"/>
      </w:tblGrid>
      <w:tr w:rsidR="00DE3B74">
        <w:trPr>
          <w:cantSplit/>
          <w:trHeight w:val="360"/>
          <w:tblHeader/>
        </w:trPr>
        <w:tc>
          <w:tcPr>
            <w:tcW w:w="10712" w:type="dxa"/>
            <w:gridSpan w:val="4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1958" w:right="18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LESSON PLAN: (</w:t>
            </w:r>
            <w:r>
              <w:rPr>
                <w:b/>
                <w:sz w:val="24"/>
                <w:szCs w:val="24"/>
              </w:rPr>
              <w:t xml:space="preserve">Communicative </w:t>
            </w:r>
            <w:r>
              <w:rPr>
                <w:b/>
                <w:color w:val="000000"/>
                <w:sz w:val="24"/>
                <w:szCs w:val="24"/>
              </w:rPr>
              <w:t xml:space="preserve"> English)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7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Discipline </w:t>
            </w:r>
          </w:p>
        </w:tc>
        <w:tc>
          <w:tcPr>
            <w:tcW w:w="9110" w:type="dxa"/>
            <w:gridSpan w:val="3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Civil, CSE, MET  Engineering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8"/>
              </w:tabs>
              <w:spacing w:line="260" w:lineRule="auto"/>
              <w:ind w:lef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Faculty</w:t>
            </w:r>
            <w:r>
              <w:rPr>
                <w:b/>
                <w:color w:val="000000"/>
                <w:sz w:val="24"/>
                <w:szCs w:val="24"/>
              </w:rPr>
              <w:tab/>
              <w:t>:</w:t>
            </w:r>
          </w:p>
        </w:tc>
        <w:tc>
          <w:tcPr>
            <w:tcW w:w="9110" w:type="dxa"/>
            <w:gridSpan w:val="3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Anamika Kar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 :</w:t>
            </w:r>
          </w:p>
        </w:tc>
        <w:tc>
          <w:tcPr>
            <w:tcW w:w="9110" w:type="dxa"/>
            <w:gridSpan w:val="3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1st Semester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 :</w:t>
            </w:r>
          </w:p>
        </w:tc>
        <w:tc>
          <w:tcPr>
            <w:tcW w:w="9110" w:type="dxa"/>
            <w:gridSpan w:val="3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 WEEKS (15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/>
                <w:sz w:val="24"/>
                <w:szCs w:val="24"/>
              </w:rPr>
              <w:t xml:space="preserve"> September 2022 to 22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0000"/>
                <w:sz w:val="24"/>
                <w:szCs w:val="24"/>
              </w:rPr>
              <w:t xml:space="preserve"> December 2022)</w:t>
            </w:r>
          </w:p>
        </w:tc>
      </w:tr>
      <w:tr w:rsidR="00DE3B74">
        <w:trPr>
          <w:cantSplit/>
          <w:trHeight w:val="395"/>
          <w:tblHeader/>
        </w:trPr>
        <w:tc>
          <w:tcPr>
            <w:tcW w:w="160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Work Load :</w:t>
            </w:r>
          </w:p>
        </w:tc>
        <w:tc>
          <w:tcPr>
            <w:tcW w:w="1530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Lecture :</w:t>
            </w:r>
          </w:p>
        </w:tc>
        <w:tc>
          <w:tcPr>
            <w:tcW w:w="7580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4 Lectures per week (50 minutes per Class) 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Week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Week</w:t>
            </w:r>
          </w:p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Theory</w:t>
            </w:r>
          </w:p>
        </w:tc>
      </w:tr>
      <w:tr w:rsidR="00DE3B74">
        <w:trPr>
          <w:cantSplit/>
          <w:trHeight w:val="350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117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>st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Reading comprehension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passage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Note making,  summarizing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12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4</w:t>
            </w:r>
            <w:r>
              <w:rPr>
                <w:color w:val="000000"/>
                <w:sz w:val="24"/>
                <w:szCs w:val="24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up for your self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15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</w:rPr>
              <w:t>nd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Questions discussion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2" w:type="dxa"/>
          </w:tcPr>
          <w:p w:rsidR="00DE3B74" w:rsidRDefault="00DE3B74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In London in minus fours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Questions discussion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The magic of team work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 w:val="restart"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15" w:lineRule="auto"/>
              <w:ind w:left="117"/>
              <w:rPr>
                <w:color w:val="000000"/>
                <w:sz w:val="40"/>
                <w:szCs w:val="40"/>
                <w:vertAlign w:val="subscript"/>
              </w:rPr>
            </w:pPr>
          </w:p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15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3</w:t>
            </w:r>
            <w:r>
              <w:rPr>
                <w:color w:val="000000"/>
                <w:sz w:val="24"/>
                <w:szCs w:val="24"/>
              </w:rPr>
              <w:t>rd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Questions discussion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Stopping by woods on a snowy evening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Questions discussion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Inchoate Rock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 w:val="restart"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15" w:lineRule="auto"/>
              <w:ind w:left="117"/>
              <w:rPr>
                <w:color w:val="000000"/>
                <w:sz w:val="40"/>
                <w:szCs w:val="40"/>
                <w:vertAlign w:val="subscript"/>
              </w:rPr>
            </w:pPr>
          </w:p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15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 xml:space="preserve">4th 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Questions discussion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To my TRUE friend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Questions discussion </w:t>
            </w:r>
          </w:p>
        </w:tc>
      </w:tr>
      <w:tr w:rsidR="00DE3B74">
        <w:trPr>
          <w:cantSplit/>
          <w:trHeight w:val="36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Author discussion </w:t>
            </w:r>
          </w:p>
        </w:tc>
      </w:tr>
      <w:tr w:rsidR="00DE3B74">
        <w:trPr>
          <w:cantSplit/>
          <w:trHeight w:val="432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117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36"/>
                <w:szCs w:val="36"/>
                <w:vertAlign w:val="subscript"/>
              </w:rPr>
              <w:t>5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0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17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Synonyms</w:t>
            </w:r>
          </w:p>
        </w:tc>
      </w:tr>
      <w:tr w:rsidR="00DE3B74">
        <w:trPr>
          <w:cantSplit/>
          <w:trHeight w:val="432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18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Antonyms</w:t>
            </w:r>
          </w:p>
        </w:tc>
      </w:tr>
      <w:tr w:rsidR="00DE3B74">
        <w:trPr>
          <w:cantSplit/>
          <w:trHeight w:val="432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Same words and Different uses</w:t>
            </w:r>
          </w:p>
        </w:tc>
      </w:tr>
      <w:tr w:rsidR="00DE3B74">
        <w:trPr>
          <w:cantSplit/>
          <w:trHeight w:val="432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Same word Different meaning </w:t>
            </w:r>
          </w:p>
        </w:tc>
      </w:tr>
      <w:tr w:rsidR="00DE3B74">
        <w:trPr>
          <w:cantSplit/>
          <w:trHeight w:val="530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120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36"/>
                <w:szCs w:val="36"/>
                <w:vertAlign w:val="subscript"/>
              </w:rPr>
              <w:t>6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21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st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Single word substitute</w:t>
            </w:r>
          </w:p>
        </w:tc>
      </w:tr>
      <w:tr w:rsidR="00DE3B74">
        <w:trPr>
          <w:cantSplit/>
          <w:trHeight w:val="53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22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nd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Part of speech</w:t>
            </w:r>
          </w:p>
        </w:tc>
      </w:tr>
      <w:tr w:rsidR="00DE3B74">
        <w:trPr>
          <w:cantSplit/>
          <w:trHeight w:val="539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rd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Countable and uncountable Noun</w:t>
            </w:r>
          </w:p>
        </w:tc>
      </w:tr>
      <w:tr w:rsidR="00DE3B74">
        <w:trPr>
          <w:cantSplit/>
          <w:trHeight w:val="542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24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Articles</w:t>
            </w:r>
          </w:p>
        </w:tc>
      </w:tr>
      <w:tr w:rsidR="00DE3B74">
        <w:trPr>
          <w:cantSplit/>
          <w:trHeight w:val="539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15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36"/>
                <w:szCs w:val="36"/>
                <w:vertAlign w:val="subscript"/>
              </w:rPr>
              <w:t>7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25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Determiner</w:t>
            </w:r>
          </w:p>
        </w:tc>
      </w:tr>
      <w:tr w:rsidR="00DE3B74">
        <w:trPr>
          <w:cantSplit/>
          <w:trHeight w:val="534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2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26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Modal verbs</w:t>
            </w:r>
          </w:p>
        </w:tc>
      </w:tr>
      <w:tr w:rsidR="00DE3B74">
        <w:trPr>
          <w:cantSplit/>
          <w:trHeight w:val="540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27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Tenses</w:t>
            </w:r>
          </w:p>
        </w:tc>
      </w:tr>
      <w:tr w:rsidR="00DE3B74">
        <w:trPr>
          <w:cantSplit/>
          <w:trHeight w:val="515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28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Voice change</w:t>
            </w:r>
          </w:p>
        </w:tc>
      </w:tr>
      <w:tr w:rsidR="00DE3B74">
        <w:trPr>
          <w:cantSplit/>
          <w:trHeight w:val="537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15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36"/>
                <w:szCs w:val="36"/>
                <w:vertAlign w:val="subscript"/>
              </w:rPr>
              <w:t>8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1" w:right="122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29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Sub-verb Agreement </w:t>
            </w:r>
          </w:p>
        </w:tc>
      </w:tr>
      <w:tr w:rsidR="00DE3B74">
        <w:trPr>
          <w:cantSplit/>
          <w:trHeight w:val="532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4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30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Paragraph writing</w:t>
            </w:r>
          </w:p>
        </w:tc>
      </w:tr>
      <w:tr w:rsidR="00DE3B74">
        <w:trPr>
          <w:cantSplit/>
          <w:trHeight w:val="553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31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st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Features of paragraph </w:t>
            </w:r>
          </w:p>
        </w:tc>
      </w:tr>
      <w:tr w:rsidR="00DE3B74">
        <w:trPr>
          <w:cantSplit/>
          <w:trHeight w:val="551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32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nd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Developing ideas into paragraph </w:t>
            </w:r>
          </w:p>
        </w:tc>
      </w:tr>
      <w:tr w:rsidR="00DE3B74">
        <w:trPr>
          <w:cantSplit/>
          <w:trHeight w:val="540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15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36"/>
                <w:szCs w:val="36"/>
                <w:vertAlign w:val="subscript"/>
              </w:rPr>
              <w:t>9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33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rd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Notice</w:t>
            </w:r>
          </w:p>
        </w:tc>
      </w:tr>
      <w:tr w:rsidR="00DE3B74">
        <w:trPr>
          <w:cantSplit/>
          <w:trHeight w:val="371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34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Agenda</w:t>
            </w:r>
          </w:p>
        </w:tc>
      </w:tr>
      <w:tr w:rsidR="00DE3B74">
        <w:trPr>
          <w:cantSplit/>
          <w:trHeight w:val="539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35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Report writing </w:t>
            </w:r>
          </w:p>
        </w:tc>
      </w:tr>
      <w:tr w:rsidR="00DE3B74">
        <w:trPr>
          <w:cantSplit/>
          <w:trHeight w:val="299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36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Types of writing </w:t>
            </w:r>
          </w:p>
        </w:tc>
      </w:tr>
      <w:tr w:rsidR="00DE3B74">
        <w:trPr>
          <w:cantSplit/>
          <w:trHeight w:val="537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10th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37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Letters</w:t>
            </w:r>
          </w:p>
        </w:tc>
      </w:tr>
      <w:tr w:rsidR="00DE3B74">
        <w:trPr>
          <w:cantSplit/>
          <w:trHeight w:val="301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38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Types of letters</w:t>
            </w:r>
          </w:p>
        </w:tc>
      </w:tr>
      <w:tr w:rsidR="00DE3B74">
        <w:trPr>
          <w:cantSplit/>
          <w:trHeight w:val="294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39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Letters to principal </w:t>
            </w:r>
          </w:p>
        </w:tc>
      </w:tr>
      <w:tr w:rsidR="00DE3B74">
        <w:trPr>
          <w:cantSplit/>
          <w:trHeight w:val="29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40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Business letters</w:t>
            </w:r>
          </w:p>
        </w:tc>
      </w:tr>
      <w:tr w:rsidR="00DE3B74">
        <w:trPr>
          <w:cantSplit/>
          <w:trHeight w:val="557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11th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9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41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st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950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Format of business letters</w:t>
            </w:r>
          </w:p>
        </w:tc>
      </w:tr>
      <w:tr w:rsidR="00DE3B74">
        <w:trPr>
          <w:cantSplit/>
          <w:trHeight w:val="29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1" w:right="122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42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nd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Letter of enquiry, letter of orders</w:t>
            </w:r>
          </w:p>
        </w:tc>
      </w:tr>
      <w:tr w:rsidR="00DE3B74">
        <w:trPr>
          <w:cantSplit/>
          <w:trHeight w:val="53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4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43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rd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Job application </w:t>
            </w:r>
          </w:p>
        </w:tc>
      </w:tr>
      <w:tr w:rsidR="00DE3B74">
        <w:trPr>
          <w:cantSplit/>
          <w:trHeight w:val="53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44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Format of CV</w:t>
            </w:r>
          </w:p>
        </w:tc>
      </w:tr>
      <w:tr w:rsidR="00DE3B74">
        <w:trPr>
          <w:cantSplit/>
          <w:trHeight w:val="467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12th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45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Introduction to communication </w:t>
            </w:r>
          </w:p>
        </w:tc>
      </w:tr>
      <w:tr w:rsidR="00DE3B74">
        <w:trPr>
          <w:cantSplit/>
          <w:trHeight w:val="618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2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46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Types of communication </w:t>
            </w:r>
          </w:p>
        </w:tc>
      </w:tr>
      <w:tr w:rsidR="00DE3B74">
        <w:trPr>
          <w:cantSplit/>
          <w:trHeight w:val="621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47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Process of communication </w:t>
            </w:r>
          </w:p>
        </w:tc>
      </w:tr>
      <w:tr w:rsidR="00DE3B74">
        <w:trPr>
          <w:cantSplit/>
          <w:trHeight w:val="611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48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Professional communication </w:t>
            </w:r>
          </w:p>
        </w:tc>
      </w:tr>
      <w:tr w:rsidR="00DE3B74">
        <w:trPr>
          <w:cantSplit/>
          <w:trHeight w:val="342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13th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49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Formal and informal communication </w:t>
            </w:r>
          </w:p>
        </w:tc>
      </w:tr>
      <w:tr w:rsidR="00DE3B74">
        <w:trPr>
          <w:cantSplit/>
          <w:trHeight w:val="29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50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Barriers of communication </w:t>
            </w:r>
          </w:p>
        </w:tc>
      </w:tr>
      <w:tr w:rsidR="00DE3B74">
        <w:trPr>
          <w:cantSplit/>
          <w:trHeight w:val="542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51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st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Types of Communication Barriers </w:t>
            </w:r>
          </w:p>
        </w:tc>
      </w:tr>
      <w:tr w:rsidR="00DE3B74">
        <w:trPr>
          <w:cantSplit/>
          <w:trHeight w:val="539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52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nd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Overcoming Barriers to Communication </w:t>
            </w:r>
          </w:p>
        </w:tc>
      </w:tr>
      <w:tr w:rsidR="00DE3B74">
        <w:trPr>
          <w:cantSplit/>
          <w:trHeight w:val="299"/>
          <w:tblHeader/>
        </w:trPr>
        <w:tc>
          <w:tcPr>
            <w:tcW w:w="1602" w:type="dxa"/>
            <w:vMerge w:val="restart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14th</w:t>
            </w: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4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53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rd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Non-verbal Communication </w:t>
            </w:r>
          </w:p>
        </w:tc>
      </w:tr>
      <w:tr w:rsidR="00DE3B74">
        <w:trPr>
          <w:cantSplit/>
          <w:trHeight w:val="29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54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Different areas of Non-verbal communication </w:t>
            </w:r>
          </w:p>
        </w:tc>
      </w:tr>
      <w:tr w:rsidR="00DE3B74">
        <w:trPr>
          <w:cantSplit/>
          <w:trHeight w:val="53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55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Body language</w:t>
            </w:r>
          </w:p>
        </w:tc>
      </w:tr>
      <w:tr w:rsidR="00DE3B74">
        <w:trPr>
          <w:cantSplit/>
          <w:trHeight w:val="537"/>
          <w:tblHeader/>
        </w:trPr>
        <w:tc>
          <w:tcPr>
            <w:tcW w:w="1602" w:type="dxa"/>
            <w:vMerge/>
          </w:tcPr>
          <w:p w:rsidR="00DE3B74" w:rsidRDefault="00DE3B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48" w:type="dxa"/>
            <w:gridSpan w:val="2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" w:right="123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56</w:t>
            </w:r>
            <w:r>
              <w:rPr>
                <w:rFonts w:ascii="Bookman Old Style" w:eastAsia="Bookman Old Style" w:hAnsi="Bookman Old Style" w:cs="Bookman Old Style"/>
                <w:color w:val="000000"/>
                <w:vertAlign w:val="superscript"/>
              </w:rPr>
              <w:t>th</w:t>
            </w:r>
          </w:p>
        </w:tc>
        <w:tc>
          <w:tcPr>
            <w:tcW w:w="7562" w:type="dxa"/>
          </w:tcPr>
          <w:p w:rsidR="00DE3B74" w:rsidRDefault="00826B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Spatial language, sign and symbols</w:t>
            </w:r>
          </w:p>
        </w:tc>
      </w:tr>
    </w:tbl>
    <w:p w:rsidR="00DE3B74" w:rsidRDefault="00DE3B74">
      <w:pPr>
        <w:pStyle w:val="normal0"/>
        <w:rPr>
          <w:rFonts w:ascii="Bookman Old Style" w:eastAsia="Bookman Old Style" w:hAnsi="Bookman Old Style" w:cs="Bookman Old Style"/>
        </w:rPr>
      </w:pPr>
    </w:p>
    <w:sectPr w:rsidR="00DE3B74" w:rsidSect="00DE3B74">
      <w:footerReference w:type="default" r:id="rId6"/>
      <w:pgSz w:w="11910" w:h="16840"/>
      <w:pgMar w:top="720" w:right="540" w:bottom="720" w:left="88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37" w:rsidRDefault="00826B37" w:rsidP="00DE3B74">
      <w:r>
        <w:separator/>
      </w:r>
    </w:p>
  </w:endnote>
  <w:endnote w:type="continuationSeparator" w:id="1">
    <w:p w:rsidR="00826B37" w:rsidRDefault="00826B37" w:rsidP="00DE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74" w:rsidRDefault="00826B3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Book" w:eastAsia="Book" w:hAnsi="Book" w:cs="Book"/>
        <w:color w:val="000000"/>
        <w:sz w:val="28"/>
        <w:szCs w:val="28"/>
      </w:rPr>
      <w:t>Sundargarh Engineering School, Kirei, Sundargarh</w:t>
    </w:r>
  </w:p>
  <w:p w:rsidR="00DE3B74" w:rsidRDefault="00DE3B7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37" w:rsidRDefault="00826B37" w:rsidP="00DE3B74">
      <w:r>
        <w:separator/>
      </w:r>
    </w:p>
  </w:footnote>
  <w:footnote w:type="continuationSeparator" w:id="1">
    <w:p w:rsidR="00826B37" w:rsidRDefault="00826B37" w:rsidP="00DE3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B74"/>
    <w:rsid w:val="006A04D5"/>
    <w:rsid w:val="00826B37"/>
    <w:rsid w:val="00D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E3B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E3B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E3B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E3B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E3B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E3B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E3B74"/>
  </w:style>
  <w:style w:type="paragraph" w:styleId="Title">
    <w:name w:val="Title"/>
    <w:basedOn w:val="normal0"/>
    <w:next w:val="normal0"/>
    <w:rsid w:val="00DE3B7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E3B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3B7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2</cp:revision>
  <dcterms:created xsi:type="dcterms:W3CDTF">2022-12-26T09:24:00Z</dcterms:created>
  <dcterms:modified xsi:type="dcterms:W3CDTF">2022-12-26T09:24:00Z</dcterms:modified>
</cp:coreProperties>
</file>